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32" w:rsidRPr="00E31103" w:rsidRDefault="001B6732" w:rsidP="00443FA3">
      <w:pPr>
        <w:pStyle w:val="Default"/>
        <w:framePr w:w="9498" w:wrap="auto" w:vAnchor="page" w:hAnchor="page" w:x="1292" w:y="1083"/>
        <w:jc w:val="center"/>
        <w:rPr>
          <w:rFonts w:asciiTheme="majorHAnsi" w:hAnsiTheme="majorHAnsi"/>
          <w:color w:val="auto"/>
        </w:rPr>
      </w:pPr>
    </w:p>
    <w:p w:rsidR="00D6182D" w:rsidRPr="00D6182D" w:rsidRDefault="00D6182D" w:rsidP="00D6182D">
      <w:pPr>
        <w:pStyle w:val="Default"/>
        <w:rPr>
          <w:rFonts w:asciiTheme="majorHAnsi" w:hAnsiTheme="majorHAnsi"/>
        </w:rPr>
      </w:pPr>
      <w:r w:rsidRPr="00D6182D">
        <w:rPr>
          <w:rFonts w:asciiTheme="majorHAnsi" w:hAnsiTheme="majorHAnsi"/>
          <w:noProof/>
        </w:rPr>
        <w:drawing>
          <wp:inline distT="0" distB="0" distL="0" distR="0" wp14:anchorId="32C6DAEB" wp14:editId="11C93101">
            <wp:extent cx="1419943" cy="56835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19943" cy="568356"/>
                    </a:xfrm>
                    <a:prstGeom prst="rect">
                      <a:avLst/>
                    </a:prstGeom>
                  </pic:spPr>
                </pic:pic>
              </a:graphicData>
            </a:graphic>
          </wp:inline>
        </w:drawing>
      </w:r>
      <w:r w:rsidRPr="00D6182D">
        <w:rPr>
          <w:rFonts w:asciiTheme="majorHAnsi" w:hAnsiTheme="majorHAnsi"/>
        </w:rPr>
        <w:tab/>
      </w:r>
      <w:r w:rsidRPr="00D6182D">
        <w:rPr>
          <w:rFonts w:asciiTheme="majorHAnsi" w:hAnsiTheme="majorHAnsi"/>
          <w:noProof/>
        </w:rPr>
        <w:drawing>
          <wp:inline distT="0" distB="0" distL="0" distR="0" wp14:anchorId="6E69BFB6" wp14:editId="69ECACD7">
            <wp:extent cx="1193886" cy="65341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93886" cy="653415"/>
                    </a:xfrm>
                    <a:prstGeom prst="rect">
                      <a:avLst/>
                    </a:prstGeom>
                  </pic:spPr>
                </pic:pic>
              </a:graphicData>
            </a:graphic>
          </wp:inline>
        </w:drawing>
      </w:r>
      <w:r w:rsidRPr="00D6182D">
        <w:rPr>
          <w:rFonts w:asciiTheme="majorHAnsi" w:hAnsiTheme="majorHAnsi"/>
        </w:rPr>
        <w:tab/>
      </w:r>
      <w:r w:rsidRPr="00D6182D">
        <w:rPr>
          <w:rFonts w:asciiTheme="majorHAnsi" w:hAnsiTheme="majorHAnsi"/>
        </w:rPr>
        <w:tab/>
      </w:r>
      <w:r>
        <w:rPr>
          <w:rFonts w:asciiTheme="majorHAnsi" w:hAnsiTheme="majorHAnsi"/>
        </w:rPr>
        <w:t xml:space="preserve">               </w:t>
      </w:r>
      <w:r w:rsidRPr="00D6182D">
        <w:rPr>
          <w:rFonts w:asciiTheme="majorHAnsi" w:hAnsiTheme="majorHAnsi"/>
          <w:noProof/>
        </w:rPr>
        <w:drawing>
          <wp:inline distT="0" distB="0" distL="0" distR="0" wp14:anchorId="4DAD53BB" wp14:editId="0D7212FD">
            <wp:extent cx="1767453" cy="633888"/>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767453" cy="633888"/>
                    </a:xfrm>
                    <a:prstGeom prst="rect">
                      <a:avLst/>
                    </a:prstGeom>
                  </pic:spPr>
                </pic:pic>
              </a:graphicData>
            </a:graphic>
          </wp:inline>
        </w:drawing>
      </w: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Pr="000349B9"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3259BA" w:rsidP="00443FA3">
      <w:pPr>
        <w:pStyle w:val="Default"/>
        <w:jc w:val="center"/>
        <w:rPr>
          <w:rFonts w:asciiTheme="majorHAnsi" w:hAnsiTheme="majorHAnsi"/>
          <w:i/>
          <w:color w:val="auto"/>
        </w:rPr>
      </w:pPr>
      <w:bookmarkStart w:id="0" w:name="_GoBack"/>
      <w:bookmarkEnd w:id="0"/>
      <w:r w:rsidRPr="003259BA">
        <w:rPr>
          <w:rFonts w:asciiTheme="majorHAnsi" w:hAnsiTheme="majorHAnsi"/>
          <w:i/>
          <w:color w:val="auto"/>
        </w:rPr>
        <w:t>Suwałki</w:t>
      </w:r>
      <w:r w:rsidR="001F7B69" w:rsidRPr="003259BA">
        <w:rPr>
          <w:rFonts w:asciiTheme="majorHAnsi" w:hAnsiTheme="majorHAnsi"/>
          <w:i/>
          <w:color w:val="auto"/>
        </w:rPr>
        <w:t>.</w:t>
      </w:r>
      <w:r w:rsidR="003241C8" w:rsidRPr="003259BA">
        <w:rPr>
          <w:rFonts w:asciiTheme="majorHAnsi" w:hAnsiTheme="majorHAnsi"/>
          <w:i/>
          <w:color w:val="auto"/>
        </w:rPr>
        <w:t xml:space="preserve">, </w:t>
      </w:r>
      <w:r w:rsidRPr="003259BA">
        <w:rPr>
          <w:rFonts w:asciiTheme="majorHAnsi" w:hAnsiTheme="majorHAnsi"/>
          <w:i/>
          <w:color w:val="auto"/>
        </w:rPr>
        <w:t>9 czerwca</w:t>
      </w:r>
      <w:r w:rsidR="00CE4878" w:rsidRPr="003259BA">
        <w:rPr>
          <w:rFonts w:asciiTheme="majorHAnsi" w:hAnsiTheme="majorHAnsi"/>
          <w:i/>
          <w:color w:val="auto"/>
        </w:rPr>
        <w:t xml:space="preserve"> </w:t>
      </w:r>
      <w:r w:rsidR="00B20569" w:rsidRPr="003259BA">
        <w:rPr>
          <w:rFonts w:asciiTheme="majorHAnsi" w:hAnsiTheme="majorHAnsi"/>
          <w:i/>
          <w:color w:val="auto"/>
        </w:rPr>
        <w:t>201</w:t>
      </w:r>
      <w:r w:rsidR="00796D95" w:rsidRPr="003259BA">
        <w:rPr>
          <w:rFonts w:asciiTheme="majorHAnsi" w:hAnsiTheme="majorHAnsi"/>
          <w:i/>
          <w:color w:val="auto"/>
        </w:rPr>
        <w:t>7</w:t>
      </w:r>
      <w:r w:rsidR="00202702" w:rsidRPr="003259BA">
        <w:rPr>
          <w:rFonts w:asciiTheme="majorHAnsi" w:hAnsiTheme="majorHAnsi"/>
          <w:i/>
          <w:color w:val="auto"/>
        </w:rPr>
        <w:t xml:space="preserve"> </w:t>
      </w:r>
      <w:r w:rsidR="003241C8" w:rsidRPr="003259BA">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11"/>
          <w:footerReference w:type="default" r:id="rId12"/>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lastRenderedPageBreak/>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3"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t xml:space="preserve">Dyrektywa 2001/42/WE Parlamentu Europejskiego i Rady z dnia 27 czerwca 2001 r. </w:t>
      </w:r>
      <w:r w:rsidRPr="004B1BFE">
        <w:rPr>
          <w:rFonts w:asciiTheme="majorHAnsi" w:hAnsiTheme="majorHAnsi"/>
          <w:color w:val="auto"/>
        </w:rPr>
        <w:lastRenderedPageBreak/>
        <w:t>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4"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15"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lastRenderedPageBreak/>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lastRenderedPageBreak/>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w:t>
      </w:r>
      <w:r w:rsidRPr="00654FF7">
        <w:rPr>
          <w:rFonts w:asciiTheme="majorHAnsi" w:hAnsiTheme="majorHAnsi"/>
          <w:color w:val="auto"/>
        </w:rPr>
        <w:lastRenderedPageBreak/>
        <w:t>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lastRenderedPageBreak/>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6"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lastRenderedPageBreak/>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w:t>
      </w:r>
      <w:r w:rsidRPr="00BA5391">
        <w:rPr>
          <w:rFonts w:asciiTheme="majorHAnsi" w:hAnsiTheme="majorHAnsi" w:cs="Times New Roman"/>
          <w:sz w:val="24"/>
          <w:szCs w:val="24"/>
        </w:rPr>
        <w:lastRenderedPageBreak/>
        <w:t>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EC" w:rsidRDefault="002651EC" w:rsidP="00851196">
      <w:pPr>
        <w:spacing w:after="0" w:line="240" w:lineRule="auto"/>
      </w:pPr>
      <w:r>
        <w:separator/>
      </w:r>
    </w:p>
  </w:endnote>
  <w:endnote w:type="continuationSeparator" w:id="0">
    <w:p w:rsidR="002651EC" w:rsidRDefault="002651EC"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117D61">
          <w:rPr>
            <w:rFonts w:asciiTheme="majorBidi" w:hAnsiTheme="majorBidi" w:cstheme="majorBidi"/>
            <w:noProof/>
          </w:rPr>
          <w:t>10</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EC" w:rsidRDefault="002651EC" w:rsidP="00851196">
      <w:pPr>
        <w:spacing w:after="0" w:line="240" w:lineRule="auto"/>
      </w:pPr>
      <w:r>
        <w:separator/>
      </w:r>
    </w:p>
  </w:footnote>
  <w:footnote w:type="continuationSeparator" w:id="0">
    <w:p w:rsidR="002651EC" w:rsidRDefault="002651EC"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3C" w:rsidRDefault="0030553C" w:rsidP="0065740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17D61"/>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1EC"/>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259BA"/>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0C64"/>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A0F92"/>
    <w:rsid w:val="00CA2CCD"/>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B0062"/>
    <w:rsid w:val="00FB2147"/>
    <w:rsid w:val="00FB2C28"/>
    <w:rsid w:val="00FB3AC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C5934-D79D-4910-BB65-090F9114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imada.mos.gov.pl/blog/2015/10/30/poradnik_przygotowania_inwesty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limada.mos.gov.pl/adaptacja-do-zmian-klimatu/perspektywa-finansow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nvironment/nature/natura2000/management/guidance_en.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5BB8-846C-4F36-9788-4DB6740B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3744</Words>
  <Characters>22470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LGD</cp:lastModifiedBy>
  <cp:revision>2</cp:revision>
  <cp:lastPrinted>2017-02-22T09:18:00Z</cp:lastPrinted>
  <dcterms:created xsi:type="dcterms:W3CDTF">2017-06-09T06:40:00Z</dcterms:created>
  <dcterms:modified xsi:type="dcterms:W3CDTF">2017-06-09T06:40:00Z</dcterms:modified>
</cp:coreProperties>
</file>